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2DEB" w14:textId="6321CCBF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202. Закона о пловидби и лукама на унутрашњим водама („Службени гласник РС”, бр. 73/10, 121/12, 18/15, 96/15 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92/16, 104/16 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113/17 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41/18, 95/18 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37/19 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закон, 9/20 и 52/21) и члана 42. став 1. </w:t>
      </w:r>
      <w:r w:rsidR="004A4E1C" w:rsidRPr="00150FF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Закона о Влади </w:t>
      </w:r>
      <w:r w:rsidR="004A4E1C" w:rsidRPr="00150F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</w:p>
    <w:p w14:paraId="4E3A3A55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DC9DEE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6CA38A9A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09194D" w14:textId="705235F6" w:rsidR="00EE5222" w:rsidRPr="00150FF8" w:rsidRDefault="00EE5222" w:rsidP="00EE52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4A4E1C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</w:p>
    <w:p w14:paraId="1CED2072" w14:textId="77777777" w:rsidR="004A4E1C" w:rsidRPr="00150FF8" w:rsidRDefault="004A4E1C" w:rsidP="00EE52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F94D1E" w14:textId="41036E72" w:rsidR="00EE5222" w:rsidRPr="00150FF8" w:rsidRDefault="00885E90" w:rsidP="0088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ИЗМЕНАМА И ДОПУНАМА УРЕДБЕ О НАЧИНУ ОСТВАРИВАЊА СИГУРНОСНЕ ЗАШТИТЕ БРОДОВА, ЛУКА ОТВОРЕНИХ ЗА МЕЂУНАРОДНИ САОБРАЋАЈ И ОБЈЕКАТА БЕЗБЕДНОСТИ ПЛОВИДБЕ НА МЕЂУНАРОДНИМ ВОДНИМ ПУТЕВИМА</w:t>
      </w:r>
    </w:p>
    <w:p w14:paraId="3073B068" w14:textId="77777777" w:rsidR="00EE5222" w:rsidRPr="00150FF8" w:rsidRDefault="00EE5222" w:rsidP="00EE5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17890F" w14:textId="77777777" w:rsidR="00EE5222" w:rsidRPr="00150FF8" w:rsidRDefault="00EE5222" w:rsidP="00EE52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42BA38FC" w14:textId="77777777" w:rsidR="00EE5222" w:rsidRPr="00150FF8" w:rsidRDefault="00EE5222" w:rsidP="00EE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Уредби о начину остваривања сигурносне заштите бродова, лука отворених за међународни саобраћај и објеката безбедности пловидбе на међународним водним путевима („Службени гласник РС”, број 56/18), члан 2. мења се и гласи:</w:t>
      </w:r>
    </w:p>
    <w:p w14:paraId="3A0DBC61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00A94F" w14:textId="1DA451DE" w:rsidR="00EE5222" w:rsidRPr="00150FF8" w:rsidRDefault="00EE5222" w:rsidP="00EE52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2.</w:t>
      </w:r>
    </w:p>
    <w:p w14:paraId="3DDE27DD" w14:textId="54C3D302" w:rsidR="00EE5222" w:rsidRPr="00150FF8" w:rsidRDefault="00EE5222" w:rsidP="00EE52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Поједини изрази употребљени у овој уредби имају следеће значење:</w:t>
      </w:r>
    </w:p>
    <w:p w14:paraId="0EAC0FDF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1)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заштита брода, луке отворене за међународни саобраћај и објеката безбедности пловидбе на међународним водним путевима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скуп мера којима се обезбеђује заштита брода, посаде, луке отворене за међународни саобраћај и објеката безбедности пловидбе на међународним водним путевима од незаконитог поступања;</w:t>
      </w:r>
    </w:p>
    <w:p w14:paraId="79E99588" w14:textId="4BEE184C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2)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лице одговорно за сигурност бродара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је лице које је одређено од бродара које је одговорно </w:t>
      </w:r>
      <w:r w:rsidR="0030094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за сигурност брода, укључујући успостављање и спровођење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сигурносног плана брода и за одржавање везе са официром одговорним за сигурност брода, лицем одговорним за сигурност објеката безбедности пловидбе и лицем одговорним за сигурност луке;</w:t>
      </w:r>
    </w:p>
    <w:p w14:paraId="111A731A" w14:textId="16D22A53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3)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лице одговорно за сигурност луке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је лице које је одређено од лучког оператера за сигурност луке, укључујући </w:t>
      </w:r>
      <w:r w:rsidR="0030094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успостављање и спровођење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сигурносног плана луке и за одржавање везе са официром одговорним за сигурност брода, лицем одговорним за сигурност објеката безбедности пловидбе и лицем одговорним за сигурност бродара;</w:t>
      </w:r>
    </w:p>
    <w:p w14:paraId="3EBE671D" w14:textId="2C62749E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4)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лице одговорно за сигурност објеката безбедности пловидбе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је лице које је одређено од Дирекције за водне путеве (у даљем тексту: Дирекција) за сигурност објекта безбедности пловидбе, укључујући </w:t>
      </w:r>
      <w:r w:rsidR="0030094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успостављање и спровођење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сигурносног плана објеката безбедности пловидбе и за одржавање везе са официром одговорним за сигурност брода, лицем одговорним за сигурност луке и лицем одговорним за сигурност бродара;</w:t>
      </w:r>
    </w:p>
    <w:p w14:paraId="2986A5FE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5)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>министарство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је министарство надлежно за послове саобраћаја;</w:t>
      </w:r>
    </w:p>
    <w:p w14:paraId="2D9ACEAD" w14:textId="36B835C3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6)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незаконито поступање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сваки догађај, радња или околност која угрожава или може угрозити сигурност брода, луке или објекта безбедности пловидбе;</w:t>
      </w:r>
    </w:p>
    <w:p w14:paraId="28E83F94" w14:textId="5C2D8C17" w:rsidR="0012793B" w:rsidRPr="00150FF8" w:rsidRDefault="00846E97" w:rsidP="0012793B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7</w:t>
      </w:r>
      <w:r w:rsidR="008734B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 </w:t>
      </w:r>
      <w:r w:rsidR="008734B2"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ниво сигурности </w:t>
      </w:r>
      <w:r w:rsidR="008734B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je</w:t>
      </w:r>
      <w:r w:rsidR="008734B2"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 </w:t>
      </w:r>
      <w:r w:rsidR="008734B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ниво током којег се примењују посебне заштитне мере</w:t>
      </w:r>
      <w:r w:rsidR="0012793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451213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које су утврђене</w:t>
      </w:r>
      <w:r w:rsidR="0012793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сигурносним плановима брода, објеката безбедности пловидбе и лука које укључују скуп мера и других опција за ублажавање ризика које се примењују према утврђеном приоритету; </w:t>
      </w:r>
    </w:p>
    <w:p w14:paraId="70DBD506" w14:textId="48B981FC" w:rsidR="0012793B" w:rsidRPr="00150FF8" w:rsidRDefault="0012793B" w:rsidP="0012793B">
      <w:pPr>
        <w:spacing w:line="210" w:lineRule="atLeast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022955CC" w14:textId="6ED70542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lastRenderedPageBreak/>
        <w:t xml:space="preserve">8)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ниво сигурности 1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ниво на којем се све време примењује основни скуп одговарајућих заштитних сигурносних мера, како је утврђено сигурносним плановима брода, луке и објеката безбедности пловидбе;</w:t>
      </w:r>
    </w:p>
    <w:p w14:paraId="06CD2983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9)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ниво сигурности 2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ниво током којег се примењују одговарајуће додатне</w:t>
      </w:r>
      <w:r w:rsidRPr="00150FF8">
        <w:rPr>
          <w:rFonts w:ascii="Times New Roman" w:eastAsia="Verdana" w:hAnsi="Times New Roman" w:cs="Times New Roman"/>
          <w:strike/>
          <w:sz w:val="24"/>
          <w:szCs w:val="24"/>
          <w:lang w:val="sr-Cyrl-CS"/>
        </w:rPr>
        <w:t xml:space="preserve">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заштитне сигурносне мере у неком временском интервалу као последица повећане опасности од наступања догађаја који угрожава сигурност, како је утврђено сигурносним плановима брода, луке и објеката безбедности пловидбе;</w:t>
      </w:r>
    </w:p>
    <w:p w14:paraId="07BE3520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10)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ниво сигурности 3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ниво током којег се примењују одговарајуће посебне заштитне сигурносне мере у ограниченом временском интервалу када је догађај који угрожава сигурност, вероватан или неминован иако није могуће утврдити посебан циљ изложен сигурносној опасности, како је утврђено сигурносним плановима брода, луке и објеката безбедности пловидбе;</w:t>
      </w:r>
    </w:p>
    <w:p w14:paraId="2708CF61" w14:textId="07C4F199" w:rsidR="00EE5222" w:rsidRPr="00150FF8" w:rsidRDefault="00EE5222" w:rsidP="00EE52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11)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>оружје, опасне материје и направе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обухватају све врсте оружја, опасне материје, направе које могу угрозити здравље или живот људи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,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односно сигурност брода, лучке инфраструктуре, другу имовину на 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лучком подручју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или заштиту околине, које је забрањено поседовати 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или уносити на брод или лучко подручје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;</w:t>
      </w:r>
    </w:p>
    <w:p w14:paraId="180880C1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12)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официр одговоран за сигурност брода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заповедник или друго лице  на броду које је одговорно заповеднику, одређено од бродара за сигурност брода, укључујући примену сигурносног плана брода и за одржавање везе са лицем одговорним за сигурност луке, лицем одговорним за сигурност објеката безбедности пловидбе и лицем одговорним за сигурност бродара;</w:t>
      </w:r>
    </w:p>
    <w:p w14:paraId="194027C2" w14:textId="49F19C3A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trike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13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>) процена ризика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је процес идентификације, анализе и вредновања ризика који се спроводи у складу са методологијом прописаном српским стандардом за процену ризика у за</w:t>
      </w:r>
      <w:r w:rsidR="00F01DA9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штити лица, имовине и пословања;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</w:p>
    <w:p w14:paraId="4D42076E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14) </w:t>
      </w:r>
      <w:r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сигурност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је одсуство неприхватљивог ризика. Неприхватљиви ризик се на основу нивоа ризика сврстава у категорије умерено великог, великог и изразитог великог ризика; </w:t>
      </w:r>
    </w:p>
    <w:p w14:paraId="720EF7A6" w14:textId="3222BCCF" w:rsidR="00EE5222" w:rsidRPr="00150FF8" w:rsidRDefault="00846E97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15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 </w:t>
      </w:r>
      <w:r w:rsidR="00EE5222"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сигурносни план брода 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план мера којима се обезбеђује заштита лица и терета који се налазе на броду од незаконитог поступања;</w:t>
      </w:r>
    </w:p>
    <w:p w14:paraId="433F8D45" w14:textId="5155E3DC" w:rsidR="00EE5222" w:rsidRPr="00150FF8" w:rsidRDefault="00846E97" w:rsidP="00EE52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16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 </w:t>
      </w:r>
      <w:r w:rsidR="00EE5222"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сигурносни план луке 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план мера којима се обезбеђује заштита лучке инфраструктуре, лучке супраструктуре, лучког подручја, бродова, терета и лица који се налазе у луци и на бродовима у луци од незаконитог поступања;</w:t>
      </w:r>
    </w:p>
    <w:p w14:paraId="781B748B" w14:textId="26756130" w:rsidR="00EE5222" w:rsidRPr="00150FF8" w:rsidRDefault="00846E97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17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 </w:t>
      </w:r>
      <w:r w:rsidR="00EE5222" w:rsidRPr="00150FF8">
        <w:rPr>
          <w:rFonts w:ascii="Times New Roman" w:eastAsia="Verdana" w:hAnsi="Times New Roman" w:cs="Times New Roman"/>
          <w:i/>
          <w:sz w:val="24"/>
          <w:szCs w:val="24"/>
          <w:lang w:val="sr-Cyrl-CS"/>
        </w:rPr>
        <w:t xml:space="preserve">сигурносни план објеката безбедности пловидбе </w:t>
      </w:r>
      <w:r w:rsidR="00EE522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је план мера Дирекције којима се обезбеђује заштита објеката безбедности пловидбе и других инфраструктурних објеката који чине саставни део међународних водних путева.</w:t>
      </w:r>
      <w:r w:rsidR="00EE5222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8F52DB7" w14:textId="77777777" w:rsidR="006D26AF" w:rsidRPr="00150FF8" w:rsidRDefault="006D26AF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B30179B" w14:textId="3D37C316" w:rsidR="006D26AF" w:rsidRPr="00150FF8" w:rsidRDefault="006D26AF" w:rsidP="006D26A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3F066170" w14:textId="44124DF6" w:rsidR="006D26AF" w:rsidRPr="00150FF8" w:rsidRDefault="006D26AF" w:rsidP="006D2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Члан 4. мења се и гласи:</w:t>
      </w:r>
    </w:p>
    <w:p w14:paraId="0D45BD9F" w14:textId="77777777" w:rsidR="005F64C0" w:rsidRPr="00150FF8" w:rsidRDefault="005F64C0" w:rsidP="006D2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F05947" w14:textId="48415E7B" w:rsidR="006D26AF" w:rsidRPr="00150FF8" w:rsidRDefault="006D26AF" w:rsidP="006D26A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„Члан 4.</w:t>
      </w:r>
    </w:p>
    <w:p w14:paraId="004A4216" w14:textId="77777777" w:rsidR="005F64C0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Правна лица и предузетници са лиценцом за вршење послова процене ризика у заштити лица, имовине и пословања применом прописане методологије 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утврђују ниво ризика, израђују а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кт о процени ризика и одређују ниво сигурности брода, луке и објекта безбедности пловидбе.</w:t>
      </w:r>
    </w:p>
    <w:p w14:paraId="673E64A6" w14:textId="5D14C158" w:rsidR="006D26AF" w:rsidRPr="00150FF8" w:rsidRDefault="005F64C0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Послови процене ризика врше се на основу закљученог уговора у складу са прописима о приватном обезбеђењу.</w:t>
      </w:r>
    </w:p>
    <w:p w14:paraId="5FA814E3" w14:textId="77777777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Уколико лука или бродар имају лиценцу за самозаштитну делатност, они могу за сопствене потребе израђивати акт о процени ризика у заштити лица, имовине и пословања уколико имају запослено физичко лице са одговарајућом лиценцом.</w:t>
      </w:r>
    </w:p>
    <w:p w14:paraId="4E362779" w14:textId="4573049E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lastRenderedPageBreak/>
        <w:t>Министарство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надлежно </w:t>
      </w:r>
      <w:r w:rsidR="00CC058A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за </w:t>
      </w:r>
      <w:r w:rsidR="00F01DA9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унутрашње послов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е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може на образложен захтев правног лица и предузетника са лиценцом за процену ризика у заштити лица, имовине и пословања доставити податке</w:t>
      </w:r>
      <w:r w:rsidR="00EA394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 регистрованим догађајима који угрожавају сигурност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брода, луке или објеката безбедности пловидбе, као и о догађајима у вези оружја, опасних материја и направа, које је забрањено поседовати или уносити на брод или подручје луке. Уз захтев се доставља и оверена копија уговора закључена са корисником услуга.</w:t>
      </w:r>
    </w:p>
    <w:p w14:paraId="0E953316" w14:textId="3298ACB4" w:rsidR="006D26AF" w:rsidRPr="00150FF8" w:rsidRDefault="00846E97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Б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родарима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, лучким оператерима, односно органу надлежном за објекте безбедности пловидбе  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са лиценцом за самозаштитну де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латност за потребе израде а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кта о процени ризика у зашт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ити лица, имовине и пословања, м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инистарство 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надлежно за унутрашње послове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ће доставити податке из става 4. </w:t>
      </w:r>
      <w:r w:rsidR="00CF58E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овог члана 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на образложени захтев.  </w:t>
      </w:r>
    </w:p>
    <w:p w14:paraId="0D491949" w14:textId="4F56A2C8" w:rsidR="005B45F7" w:rsidRPr="00150FF8" w:rsidRDefault="006D26AF" w:rsidP="005B45F7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Акт о процени ризика се ажурира најмање једном у три године.</w:t>
      </w:r>
    </w:p>
    <w:p w14:paraId="4CE0A395" w14:textId="3F4404C2" w:rsidR="006D26AF" w:rsidRPr="00150FF8" w:rsidRDefault="005B45F7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Захтев за приступ подацима из става 4. овог члана </w:t>
      </w:r>
      <w:r w:rsidR="00D46C09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подноси се на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Обрасцу, који је одштампан уз ову уредбу и чини њен саставни део.”.</w:t>
      </w:r>
    </w:p>
    <w:p w14:paraId="2F775035" w14:textId="77777777" w:rsidR="00361947" w:rsidRPr="00150FF8" w:rsidRDefault="00361947" w:rsidP="00EE522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4C3E7D87" w14:textId="60F99147" w:rsidR="006D26AF" w:rsidRPr="00150FF8" w:rsidRDefault="006D26AF" w:rsidP="006D26A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Члан 3.</w:t>
      </w:r>
    </w:p>
    <w:p w14:paraId="6F05DC80" w14:textId="02212B95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 члану 5. став 1. мења се и гласи:</w:t>
      </w:r>
    </w:p>
    <w:p w14:paraId="1EDA8CF8" w14:textId="5D6C18E9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 случају промене нивоа сигурности лица одговорна за сигурност ће о новоутврђеном нивоу сигурности обавестити VTS центар и разменити информације са лицима одговорним за сигурност лука, бродара и објеката безбедности пловидбе на које се примењују одредбе ове уредбе у најкраћем року од настанка промене.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DECA87F" w14:textId="34B580AF" w:rsidR="006D26AF" w:rsidRPr="00150FF8" w:rsidRDefault="005C05A8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3. д</w:t>
      </w:r>
      <w:r w:rsidR="00CF58E7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одаје се</w:t>
      </w:r>
      <w:r w:rsidR="006D26AF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4. који </w:t>
      </w:r>
      <w:r w:rsidR="006D26AF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гласи:</w:t>
      </w:r>
    </w:p>
    <w:p w14:paraId="4A367517" w14:textId="1806F184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50FF8">
        <w:rPr>
          <w:rFonts w:ascii="Times New Roman" w:hAnsi="Times New Roman" w:cs="Times New Roman"/>
          <w:sz w:val="24"/>
          <w:szCs w:val="24"/>
          <w:lang w:val="sr-Cyrl-CS"/>
        </w:rPr>
        <w:t>Изузетно од става 1. овог члана, без обзира на ниво сигурности утврђен актом о процени ризика министарство</w:t>
      </w:r>
      <w:r w:rsidR="0035213A" w:rsidRPr="00150FF8"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  <w:t xml:space="preserve"> </w:t>
      </w:r>
      <w:r w:rsidR="0035213A" w:rsidRPr="00150FF8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министарством </w:t>
      </w:r>
      <w:r w:rsidR="00CF58E7" w:rsidRPr="00150FF8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надлежним </w:t>
      </w:r>
      <w:r w:rsidR="0035213A" w:rsidRPr="00150FF8">
        <w:rPr>
          <w:rFonts w:ascii="Times New Roman" w:hAnsi="Times New Roman" w:cs="Times New Roman"/>
          <w:sz w:val="24"/>
          <w:szCs w:val="24"/>
          <w:lang w:val="sr-Cyrl-CS"/>
        </w:rPr>
        <w:t>за унутрашње послове</w:t>
      </w:r>
      <w:r w:rsidRPr="00150FF8">
        <w:rPr>
          <w:rFonts w:ascii="Times New Roman" w:hAnsi="Times New Roman" w:cs="Times New Roman"/>
          <w:sz w:val="24"/>
          <w:szCs w:val="24"/>
          <w:lang w:val="sr-Cyrl-CS"/>
        </w:rPr>
        <w:t xml:space="preserve"> може наложити промену нивоа сигурности.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C968FC0" w14:textId="77777777" w:rsidR="00152284" w:rsidRPr="00150FF8" w:rsidRDefault="00152284" w:rsidP="006D26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327279" w14:textId="24078CF6" w:rsidR="001C0600" w:rsidRPr="00150FF8" w:rsidRDefault="00D50DC2" w:rsidP="001C060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Члан 4</w:t>
      </w:r>
      <w:r w:rsidR="001C060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545E6785" w14:textId="7E86E4DD" w:rsidR="001C0600" w:rsidRPr="00150FF8" w:rsidRDefault="00CF58E7" w:rsidP="001C0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8.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2),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11.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2) и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13.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2)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реч: „израђује” замењује се речју: „успоставља”.  </w:t>
      </w:r>
    </w:p>
    <w:p w14:paraId="36B51140" w14:textId="77777777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66C6A9" w14:textId="60AC2B49" w:rsidR="006D26AF" w:rsidRPr="00150FF8" w:rsidRDefault="006D26AF" w:rsidP="006D26A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Члан </w:t>
      </w:r>
      <w:r w:rsidR="00D50DC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5</w:t>
      </w:r>
      <w:r w:rsidR="0015228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04E03DC8" w14:textId="6697340E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 члану 15. став 6. мења се и гласи:</w:t>
      </w:r>
    </w:p>
    <w:p w14:paraId="2307A3DD" w14:textId="3532F251" w:rsidR="00052CCA" w:rsidRPr="00150FF8" w:rsidRDefault="00F01DA9" w:rsidP="00052CCA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„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С</w:t>
      </w:r>
      <w:r w:rsidR="009E65D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игурносни план брода, </w:t>
      </w:r>
      <w:r w:rsidR="00052CCA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лука и објеката безбедности 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пловидбе израђује се на основу а</w:t>
      </w:r>
      <w:r w:rsidR="00052CCA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кта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 процени</w:t>
      </w:r>
      <w:r w:rsidR="00052CCA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ризика у заштити лица, имовине и пословања и не сме да садржи мањи обим мера за пос</w:t>
      </w:r>
      <w:r w:rsidR="00EA394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тупање са ризицима од оног који</w:t>
      </w:r>
      <w:r w:rsidR="00052CCA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је прописан у закључку </w:t>
      </w:r>
      <w:r w:rsidR="009E65D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тог </w:t>
      </w:r>
      <w:r w:rsidR="00A14AE3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акта.”</w:t>
      </w:r>
      <w:r w:rsidR="00A320AE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5ED3F885" w14:textId="3B368FD1" w:rsidR="00C05AAE" w:rsidRPr="00150FF8" w:rsidRDefault="00EA394C" w:rsidP="00052C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После става 6. додају</w:t>
      </w:r>
      <w:r w:rsidR="00CF58E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се нови став</w:t>
      </w:r>
      <w:r w:rsidR="00C05AAE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7. и </w:t>
      </w:r>
      <w:r w:rsidR="00CF58E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став 8,</w:t>
      </w:r>
      <w:r w:rsidR="00C05AAE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који гласе:</w:t>
      </w:r>
    </w:p>
    <w:p w14:paraId="6C4B9A4B" w14:textId="4AAFF34F" w:rsidR="00AD4245" w:rsidRPr="00150FF8" w:rsidRDefault="00C05AAE" w:rsidP="00AD4245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„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Процену ризика спроводе правна и физичка лица са одговарајућом лиценцом коју издаје министарство надлежно за унутрашње послове у складу са законом ко</w:t>
      </w:r>
      <w:r w:rsidR="00F01DA9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јим се уређује приватно обезбеђ</w:t>
      </w:r>
      <w:r w:rsidR="00AD42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ење.</w:t>
      </w:r>
    </w:p>
    <w:p w14:paraId="29AEC2DA" w14:textId="6B4445B4" w:rsidR="006D26AF" w:rsidRPr="00150FF8" w:rsidRDefault="006D26AF" w:rsidP="006D26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Сигурносне планове </w:t>
      </w:r>
      <w:r w:rsidR="006E73D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брода, лука и објеката безб</w:t>
      </w:r>
      <w:r w:rsidR="004A4E1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е</w:t>
      </w:r>
      <w:r w:rsidR="006E73D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дности пловидбе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израђује </w:t>
      </w:r>
      <w:r w:rsidR="006E73D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уговорним ангажовањем 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правно лице или предузетник са лиценцом за врше</w:t>
      </w:r>
      <w:r w:rsidR="009E65D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ње послова приватног обезбеђења, односно </w:t>
      </w:r>
      <w:r w:rsidR="006E73D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бродар, лучки оп</w:t>
      </w:r>
      <w:r w:rsidR="005304F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ератер и Дирекције</w:t>
      </w:r>
      <w:r w:rsidR="0005178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,</w:t>
      </w:r>
      <w:r w:rsidR="000D7D8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ако имају организовану самозаш</w:t>
      </w:r>
      <w:r w:rsidR="0005178C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титну делатност </w:t>
      </w:r>
      <w:r w:rsidR="000D7D8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који имају одговарајућу лиценцу издату од министарства надлежног за унутрашње послове.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45377CB" w14:textId="2E968F14" w:rsidR="00C05AAE" w:rsidRPr="00150FF8" w:rsidRDefault="00C05AAE" w:rsidP="006D26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Досадашњи став </w:t>
      </w:r>
      <w:r w:rsidR="00D6567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7. постаје став 9.</w:t>
      </w:r>
    </w:p>
    <w:p w14:paraId="5BF2506D" w14:textId="6EDEF665" w:rsidR="00EF60D7" w:rsidRPr="00150FF8" w:rsidRDefault="00EF60D7" w:rsidP="0045121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14:paraId="417D8F97" w14:textId="17116D45" w:rsidR="007D2345" w:rsidRPr="00150FF8" w:rsidRDefault="00451213" w:rsidP="007D234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Члан</w:t>
      </w:r>
      <w:r w:rsidR="0015228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D50DC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6</w:t>
      </w:r>
      <w:r w:rsidR="0015228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08FA696D" w14:textId="32FFD43C" w:rsidR="007D2345" w:rsidRPr="00150FF8" w:rsidRDefault="00D65675" w:rsidP="007D2345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У члану 17. став 2</w:t>
      </w:r>
      <w:r w:rsidR="007D2345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. </w:t>
      </w:r>
      <w:r w:rsidR="0067374E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после речи: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брода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додају се запета и реч: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лука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0FBAED15" w14:textId="7D548D4A" w:rsidR="00D65675" w:rsidRPr="00150FF8" w:rsidRDefault="00D65675" w:rsidP="007D2345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Став 3. мења се и гласи:</w:t>
      </w:r>
    </w:p>
    <w:p w14:paraId="09AB3EB6" w14:textId="5D0D88C1" w:rsidR="007D2345" w:rsidRPr="00150FF8" w:rsidRDefault="007D2345" w:rsidP="007D23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„</w:t>
      </w:r>
      <w:r w:rsidR="002879BB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Н</w:t>
      </w: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адзор над спровођењем одредаба ове уредбе које се односе на прописе о приватном обезбеђењу врши министарство надлежно за унутрашње послове преко службених лица.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10E120E" w14:textId="664A6DAC" w:rsidR="007D2345" w:rsidRPr="00150FF8" w:rsidRDefault="007D2345" w:rsidP="007D2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4. брише се.</w:t>
      </w:r>
    </w:p>
    <w:p w14:paraId="2E78614D" w14:textId="2F934A16" w:rsidR="001C0600" w:rsidRPr="00150FF8" w:rsidRDefault="00CF58E7" w:rsidP="001C060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Члан</w:t>
      </w:r>
      <w:r w:rsidR="001C060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D50DC2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7</w:t>
      </w:r>
      <w:r w:rsidR="001C060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5B399A5E" w14:textId="268D3A6B" w:rsidR="001C0600" w:rsidRPr="00150FF8" w:rsidRDefault="00CF58E7" w:rsidP="001C0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19.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2), 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20. тачка 2) и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 21. тачка 2),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реч</w:t>
      </w:r>
      <w:r w:rsidR="00C910A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: „</w:t>
      </w:r>
      <w:r w:rsidR="00C910A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изради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 </w:t>
      </w:r>
      <w:r w:rsidR="00C910A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замењуј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910A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речима: 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C910A5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не успостави</w:t>
      </w:r>
      <w:r w:rsidR="001C060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”.  </w:t>
      </w:r>
    </w:p>
    <w:p w14:paraId="14B5E4B7" w14:textId="77777777" w:rsidR="00CF58E7" w:rsidRPr="00150FF8" w:rsidRDefault="00CF58E7" w:rsidP="001C0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A89CFA" w14:textId="199C0EEF" w:rsidR="00CF58E7" w:rsidRPr="00150FF8" w:rsidRDefault="00D50DC2" w:rsidP="00CF58E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Члан 8</w:t>
      </w:r>
      <w:r w:rsidR="00CF58E7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7C9AF1A4" w14:textId="7E6E7D8C" w:rsidR="00CF58E7" w:rsidRPr="00150FF8" w:rsidRDefault="00CF58E7" w:rsidP="00CF58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5. став 2. тачка 5), члану 6. став 2. тачка 2), члану 8. тачка 3), члану 11. тачка 3), члану 13. тачка 3), члану 15. ст. 1</w:t>
      </w:r>
      <w:r w:rsidR="00885E90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2, члану 16. ст. 1. и 2, члану 19. тачка 3), члану 20. тачка 3), члану 21. тачка 3) и члану 22. став 1. тач. 1) и 2)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реч: „одобрен” у одређеном падежу бришe</w:t>
      </w:r>
      <w:r w:rsidR="00D50DC2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се.</w:t>
      </w:r>
    </w:p>
    <w:p w14:paraId="63542766" w14:textId="77777777" w:rsidR="001C0600" w:rsidRPr="00150FF8" w:rsidRDefault="001C0600" w:rsidP="007D23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802761" w14:textId="75F06DD4" w:rsidR="00EE5222" w:rsidRPr="00150FF8" w:rsidRDefault="007D2345" w:rsidP="00EE52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1C0600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9</w:t>
      </w:r>
      <w:r w:rsidR="00152284" w:rsidRPr="00150FF8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</w:p>
    <w:p w14:paraId="31738E14" w14:textId="5F1C559E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A320AE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14:paraId="391E66F0" w14:textId="77777777" w:rsidR="00EE5222" w:rsidRPr="00150FF8" w:rsidRDefault="00EE5222" w:rsidP="00EE52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EAA1FE" w14:textId="77777777" w:rsidR="00EE5222" w:rsidRPr="00150FF8" w:rsidRDefault="00EE5222" w:rsidP="00EE522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B9DF3DA" w14:textId="75FA46C3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9E42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110-11466/2025</w:t>
      </w:r>
    </w:p>
    <w:p w14:paraId="05A0CC57" w14:textId="31DB4A21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46C09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24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C058A"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окто</w:t>
      </w: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бра 2025. године</w:t>
      </w:r>
    </w:p>
    <w:p w14:paraId="04CBC66E" w14:textId="77777777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880C81" w14:textId="77777777" w:rsidR="004A4E1C" w:rsidRPr="00150FF8" w:rsidRDefault="004A4E1C" w:rsidP="004A4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36548097" w14:textId="77777777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ПРЕДСЕДНИК</w:t>
      </w:r>
    </w:p>
    <w:p w14:paraId="62D5DE85" w14:textId="77777777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C680F6" w14:textId="77777777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4E45BD" w14:textId="69D21A84" w:rsidR="004A4E1C" w:rsidRPr="00150FF8" w:rsidRDefault="004A4E1C" w:rsidP="004A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proofErr w:type="spellStart"/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proofErr w:type="spellEnd"/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др Ђуро </w:t>
      </w:r>
      <w:proofErr w:type="spellStart"/>
      <w:r w:rsidRPr="00150FF8">
        <w:rPr>
          <w:rFonts w:ascii="Times New Roman" w:eastAsia="Times New Roman" w:hAnsi="Times New Roman" w:cs="Times New Roman"/>
          <w:sz w:val="24"/>
          <w:szCs w:val="24"/>
          <w:lang w:val="sr-Cyrl-CS"/>
        </w:rPr>
        <w:t>Мацут</w:t>
      </w:r>
      <w:r w:rsidR="009E422B">
        <w:rPr>
          <w:rFonts w:ascii="Times New Roman" w:eastAsia="Times New Roman" w:hAnsi="Times New Roman" w:cs="Times New Roman"/>
          <w:sz w:val="24"/>
          <w:szCs w:val="24"/>
          <w:lang w:val="sr-Cyrl-CS"/>
        </w:rPr>
        <w:t>,с.р</w:t>
      </w:r>
      <w:proofErr w:type="spellEnd"/>
      <w:r w:rsidR="009E422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88BFF00" w14:textId="1978D55C" w:rsidR="00EE5222" w:rsidRPr="00150FF8" w:rsidRDefault="00EE5222" w:rsidP="004A4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EE5222" w:rsidRPr="00150FF8" w:rsidSect="00A320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F341F" w14:textId="77777777" w:rsidR="00631413" w:rsidRDefault="00631413" w:rsidP="00A320AE">
      <w:pPr>
        <w:spacing w:after="0" w:line="240" w:lineRule="auto"/>
      </w:pPr>
      <w:r>
        <w:separator/>
      </w:r>
    </w:p>
  </w:endnote>
  <w:endnote w:type="continuationSeparator" w:id="0">
    <w:p w14:paraId="6398C5E9" w14:textId="77777777" w:rsidR="00631413" w:rsidRDefault="00631413" w:rsidP="00A3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863F" w14:textId="77777777" w:rsidR="00A320AE" w:rsidRDefault="00A320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B069" w14:textId="77777777" w:rsidR="00A320AE" w:rsidRDefault="00A320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6921" w14:textId="77777777" w:rsidR="00A320AE" w:rsidRDefault="00A320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9754" w14:textId="77777777" w:rsidR="00631413" w:rsidRDefault="00631413" w:rsidP="00A320AE">
      <w:pPr>
        <w:spacing w:after="0" w:line="240" w:lineRule="auto"/>
      </w:pPr>
      <w:r>
        <w:separator/>
      </w:r>
    </w:p>
  </w:footnote>
  <w:footnote w:type="continuationSeparator" w:id="0">
    <w:p w14:paraId="28161A62" w14:textId="77777777" w:rsidR="00631413" w:rsidRDefault="00631413" w:rsidP="00A32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1DF15" w14:textId="77777777" w:rsidR="00A320AE" w:rsidRDefault="00A320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0157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23E044" w14:textId="5E05E190" w:rsidR="00A320AE" w:rsidRDefault="00A320AE">
        <w:pPr>
          <w:pStyle w:val="Header"/>
          <w:jc w:val="center"/>
        </w:pPr>
        <w:r w:rsidRPr="00A320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20A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20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3C3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320A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440312B" w14:textId="77777777" w:rsidR="00A320AE" w:rsidRDefault="00A320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8E3E" w14:textId="77777777" w:rsidR="00A320AE" w:rsidRDefault="00A320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0A"/>
    <w:rsid w:val="000120E9"/>
    <w:rsid w:val="0004276C"/>
    <w:rsid w:val="0005178C"/>
    <w:rsid w:val="00052CCA"/>
    <w:rsid w:val="00087EC1"/>
    <w:rsid w:val="00093B7A"/>
    <w:rsid w:val="000A7DCE"/>
    <w:rsid w:val="000D3574"/>
    <w:rsid w:val="000D395B"/>
    <w:rsid w:val="000D7D80"/>
    <w:rsid w:val="000F5E22"/>
    <w:rsid w:val="000F7AF7"/>
    <w:rsid w:val="0012793B"/>
    <w:rsid w:val="00150FF8"/>
    <w:rsid w:val="00152284"/>
    <w:rsid w:val="00153C6F"/>
    <w:rsid w:val="00156875"/>
    <w:rsid w:val="00177129"/>
    <w:rsid w:val="00195798"/>
    <w:rsid w:val="001C0600"/>
    <w:rsid w:val="001C7A89"/>
    <w:rsid w:val="00262936"/>
    <w:rsid w:val="002879BB"/>
    <w:rsid w:val="00290041"/>
    <w:rsid w:val="002D3432"/>
    <w:rsid w:val="0030094B"/>
    <w:rsid w:val="00344BEB"/>
    <w:rsid w:val="0035213A"/>
    <w:rsid w:val="00356EEA"/>
    <w:rsid w:val="00361947"/>
    <w:rsid w:val="003A7AE7"/>
    <w:rsid w:val="003C1981"/>
    <w:rsid w:val="003E63CB"/>
    <w:rsid w:val="003E66B3"/>
    <w:rsid w:val="003F61C6"/>
    <w:rsid w:val="00451213"/>
    <w:rsid w:val="004A4E1C"/>
    <w:rsid w:val="004B32F4"/>
    <w:rsid w:val="004E7F1B"/>
    <w:rsid w:val="005304F4"/>
    <w:rsid w:val="005463C8"/>
    <w:rsid w:val="00575694"/>
    <w:rsid w:val="005B45F7"/>
    <w:rsid w:val="005C05A8"/>
    <w:rsid w:val="005D17DE"/>
    <w:rsid w:val="005D4599"/>
    <w:rsid w:val="005E4680"/>
    <w:rsid w:val="005F52D1"/>
    <w:rsid w:val="005F63DC"/>
    <w:rsid w:val="005F64C0"/>
    <w:rsid w:val="00606CAF"/>
    <w:rsid w:val="00613AC2"/>
    <w:rsid w:val="00616268"/>
    <w:rsid w:val="00631413"/>
    <w:rsid w:val="0067374E"/>
    <w:rsid w:val="006741AE"/>
    <w:rsid w:val="006A185D"/>
    <w:rsid w:val="006A7A15"/>
    <w:rsid w:val="006D26AF"/>
    <w:rsid w:val="006E73D7"/>
    <w:rsid w:val="00745391"/>
    <w:rsid w:val="007746C0"/>
    <w:rsid w:val="007969E5"/>
    <w:rsid w:val="007A2B20"/>
    <w:rsid w:val="007A46C7"/>
    <w:rsid w:val="007A630D"/>
    <w:rsid w:val="007C4C47"/>
    <w:rsid w:val="007D2345"/>
    <w:rsid w:val="007D6420"/>
    <w:rsid w:val="007F2C07"/>
    <w:rsid w:val="0080110E"/>
    <w:rsid w:val="00833A4E"/>
    <w:rsid w:val="00846E97"/>
    <w:rsid w:val="008734B2"/>
    <w:rsid w:val="00885E90"/>
    <w:rsid w:val="008909AD"/>
    <w:rsid w:val="00897A0A"/>
    <w:rsid w:val="008C4A0B"/>
    <w:rsid w:val="008E7078"/>
    <w:rsid w:val="00905E15"/>
    <w:rsid w:val="00975FCE"/>
    <w:rsid w:val="009C4224"/>
    <w:rsid w:val="009E422B"/>
    <w:rsid w:val="009E65DC"/>
    <w:rsid w:val="009E6979"/>
    <w:rsid w:val="009F12F2"/>
    <w:rsid w:val="00A05900"/>
    <w:rsid w:val="00A14AE3"/>
    <w:rsid w:val="00A320AE"/>
    <w:rsid w:val="00A61FB3"/>
    <w:rsid w:val="00AC0790"/>
    <w:rsid w:val="00AD4245"/>
    <w:rsid w:val="00B15FBD"/>
    <w:rsid w:val="00B53C3E"/>
    <w:rsid w:val="00BE5991"/>
    <w:rsid w:val="00BF51F8"/>
    <w:rsid w:val="00C05AAE"/>
    <w:rsid w:val="00C223C2"/>
    <w:rsid w:val="00C31A0D"/>
    <w:rsid w:val="00C37127"/>
    <w:rsid w:val="00C65788"/>
    <w:rsid w:val="00C910A5"/>
    <w:rsid w:val="00CB2F68"/>
    <w:rsid w:val="00CC058A"/>
    <w:rsid w:val="00CD3073"/>
    <w:rsid w:val="00CF58E7"/>
    <w:rsid w:val="00D46C09"/>
    <w:rsid w:val="00D50DC2"/>
    <w:rsid w:val="00D6336B"/>
    <w:rsid w:val="00D65675"/>
    <w:rsid w:val="00D833DE"/>
    <w:rsid w:val="00DA20BC"/>
    <w:rsid w:val="00DD3709"/>
    <w:rsid w:val="00E36D28"/>
    <w:rsid w:val="00E41784"/>
    <w:rsid w:val="00E517E9"/>
    <w:rsid w:val="00E75954"/>
    <w:rsid w:val="00E87669"/>
    <w:rsid w:val="00EA394C"/>
    <w:rsid w:val="00EE5222"/>
    <w:rsid w:val="00EF60D7"/>
    <w:rsid w:val="00F01DA9"/>
    <w:rsid w:val="00F03C71"/>
    <w:rsid w:val="00F35037"/>
    <w:rsid w:val="00F37705"/>
    <w:rsid w:val="00F46DFF"/>
    <w:rsid w:val="00F86C1D"/>
    <w:rsid w:val="00FB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512D0"/>
  <w15:docId w15:val="{6E4A704F-2294-4DCD-8A0B-0CFB346A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A46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6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6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6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6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6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371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2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0AE"/>
  </w:style>
  <w:style w:type="paragraph" w:styleId="Footer">
    <w:name w:val="footer"/>
    <w:basedOn w:val="Normal"/>
    <w:link w:val="FooterChar"/>
    <w:uiPriority w:val="99"/>
    <w:unhideWhenUsed/>
    <w:rsid w:val="00A32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80493-8056-4BD8-811A-913E0B4B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Ignjatovic</dc:creator>
  <cp:lastModifiedBy>Nikola Radulovic</cp:lastModifiedBy>
  <cp:revision>23</cp:revision>
  <cp:lastPrinted>2025-10-22T11:29:00Z</cp:lastPrinted>
  <dcterms:created xsi:type="dcterms:W3CDTF">2025-08-13T08:04:00Z</dcterms:created>
  <dcterms:modified xsi:type="dcterms:W3CDTF">2025-10-24T06:52:00Z</dcterms:modified>
</cp:coreProperties>
</file>